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152" w:rsidRDefault="00E2548C" w:rsidP="003615EB">
      <w:pPr>
        <w:rPr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8F8F94" wp14:editId="598406BE">
            <wp:simplePos x="0" y="0"/>
            <wp:positionH relativeFrom="column">
              <wp:posOffset>2912110</wp:posOffset>
            </wp:positionH>
            <wp:positionV relativeFrom="paragraph">
              <wp:posOffset>-70485</wp:posOffset>
            </wp:positionV>
            <wp:extent cx="635000" cy="673100"/>
            <wp:effectExtent l="0" t="0" r="0" b="0"/>
            <wp:wrapTight wrapText="bothSides">
              <wp:wrapPolygon edited="0">
                <wp:start x="0" y="0"/>
                <wp:lineTo x="0" y="20785"/>
                <wp:lineTo x="20736" y="20785"/>
                <wp:lineTo x="20736" y="0"/>
                <wp:lineTo x="0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2152" w:rsidRDefault="00002152" w:rsidP="00002152">
      <w:pPr>
        <w:jc w:val="right"/>
        <w:rPr>
          <w:bCs/>
        </w:rPr>
      </w:pPr>
      <w:r>
        <w:rPr>
          <w:bCs/>
        </w:rPr>
        <w:t xml:space="preserve">       </w:t>
      </w:r>
    </w:p>
    <w:p w:rsidR="00002152" w:rsidRDefault="00002152" w:rsidP="00E2548C">
      <w:pPr>
        <w:jc w:val="right"/>
        <w:rPr>
          <w:bCs/>
        </w:rPr>
      </w:pPr>
      <w:r>
        <w:rPr>
          <w:bCs/>
        </w:rPr>
        <w:t xml:space="preserve">      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МЕСТНАЯ  АДМИНИСТРАЦИЯ   СЕЛЬСКОГО  ПОСЕЛЕНИЯ  НОВО –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ПРОХЛАДНЕНСКОГО МУНИЦИПАЛЬНОГО РАЙОНА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КАБАРДИНО - БАЛКАРСКОЙ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РЕСПУБЛИКИ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КЪЭБЭРДЕЙ - БАЛЪКЪЭР  РЕСПУБЛИКЭМ  ЩЫ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Э  ПРОХЛАДНЭ  МУНИЦИПАЛЬНЭ  РАЙОНЫМ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ЩЫЩ НОВО – ПОЛТАВСКЭ  </w:t>
      </w:r>
      <w:r w:rsidRPr="00002152">
        <w:rPr>
          <w:rFonts w:ascii="Times New Roman" w:hAnsi="Times New Roman" w:cs="Times New Roman"/>
          <w:b/>
          <w:bCs/>
          <w:sz w:val="20"/>
          <w:szCs w:val="20"/>
        </w:rPr>
        <w:t xml:space="preserve">КЪУАЖЭ  ЖЫЛАГЬУЭМ </w:t>
      </w:r>
      <w:r w:rsidRPr="00002152">
        <w:rPr>
          <w:rFonts w:ascii="Times New Roman" w:hAnsi="Times New Roman" w:cs="Times New Roman"/>
          <w:b/>
          <w:sz w:val="20"/>
          <w:szCs w:val="20"/>
        </w:rPr>
        <w:t>И  Щ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>ЫП</w:t>
      </w:r>
      <w:r w:rsidRPr="00002152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002152">
        <w:rPr>
          <w:rFonts w:ascii="Times New Roman" w:hAnsi="Times New Roman" w:cs="Times New Roman"/>
          <w:b/>
          <w:sz w:val="20"/>
          <w:szCs w:val="20"/>
        </w:rPr>
        <w:t>Э  АДМИНИСТРАЦЭ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>КЪАБАРТЫ – МАЛКЪАР  РЕСПУБЛИКАНЫ  ПРОХЛАДНА МУНИЦИПАЛЬНЫЙ РАЙОНУНУ</w:t>
      </w:r>
    </w:p>
    <w:p w:rsidR="00002152" w:rsidRPr="00002152" w:rsidRDefault="00002152" w:rsidP="00002152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2152">
        <w:rPr>
          <w:rFonts w:ascii="Times New Roman" w:hAnsi="Times New Roman" w:cs="Times New Roman"/>
          <w:b/>
          <w:sz w:val="20"/>
          <w:szCs w:val="20"/>
        </w:rPr>
        <w:t xml:space="preserve">НОВО - </w:t>
      </w:r>
      <w:proofErr w:type="gramStart"/>
      <w:r w:rsidRPr="00002152">
        <w:rPr>
          <w:rFonts w:ascii="Times New Roman" w:hAnsi="Times New Roman" w:cs="Times New Roman"/>
          <w:b/>
          <w:sz w:val="20"/>
          <w:szCs w:val="20"/>
        </w:rPr>
        <w:t>ПОЛТАВСКОЕ</w:t>
      </w:r>
      <w:proofErr w:type="gramEnd"/>
      <w:r w:rsidRPr="00002152">
        <w:rPr>
          <w:rFonts w:ascii="Times New Roman" w:hAnsi="Times New Roman" w:cs="Times New Roman"/>
          <w:b/>
          <w:sz w:val="20"/>
          <w:szCs w:val="20"/>
        </w:rPr>
        <w:t xml:space="preserve">  ЭЛ  ПОСЕЛЕНИЯСНЫ  ЖЕР-ЖЕРЛИ  АДМИНИСТРАЦИЯСЫ</w:t>
      </w:r>
    </w:p>
    <w:p w:rsidR="00002152" w:rsidRDefault="00002152" w:rsidP="00002152">
      <w:pPr>
        <w:pStyle w:val="a6"/>
        <w:rPr>
          <w:bCs/>
          <w:sz w:val="16"/>
        </w:rPr>
      </w:pPr>
    </w:p>
    <w:p w:rsidR="00002152" w:rsidRDefault="00002152" w:rsidP="00002152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002152" w:rsidRPr="00002152" w:rsidRDefault="00002152" w:rsidP="00002152">
      <w:pPr>
        <w:pStyle w:val="5"/>
        <w:rPr>
          <w:rFonts w:ascii="Times New Roman" w:hAnsi="Times New Roman"/>
          <w:sz w:val="18"/>
          <w:szCs w:val="18"/>
        </w:rPr>
      </w:pPr>
      <w:proofErr w:type="gramStart"/>
      <w:r w:rsidRPr="00002152">
        <w:rPr>
          <w:rFonts w:ascii="Times New Roman" w:hAnsi="Times New Roman"/>
          <w:sz w:val="18"/>
          <w:szCs w:val="18"/>
        </w:rPr>
        <w:t>П</w:t>
      </w:r>
      <w:proofErr w:type="gramEnd"/>
      <w:r w:rsidRPr="00002152">
        <w:rPr>
          <w:rFonts w:ascii="Times New Roman" w:hAnsi="Times New Roman"/>
          <w:sz w:val="18"/>
          <w:szCs w:val="18"/>
        </w:rPr>
        <w:t xml:space="preserve"> – и  361017  КБР </w:t>
      </w:r>
      <w:proofErr w:type="spellStart"/>
      <w:r w:rsidRPr="00002152">
        <w:rPr>
          <w:rFonts w:ascii="Times New Roman" w:hAnsi="Times New Roman"/>
          <w:sz w:val="18"/>
          <w:szCs w:val="18"/>
        </w:rPr>
        <w:t>Прохладненский</w:t>
      </w:r>
      <w:proofErr w:type="spellEnd"/>
      <w:r w:rsidRPr="00002152">
        <w:rPr>
          <w:rFonts w:ascii="Times New Roman" w:hAnsi="Times New Roman"/>
          <w:sz w:val="18"/>
          <w:szCs w:val="18"/>
        </w:rPr>
        <w:t xml:space="preserve"> район  с. Ново-Полтавское  ул. Третьякова  126  тел.  9–99-88</w:t>
      </w:r>
    </w:p>
    <w:p w:rsidR="00002152" w:rsidRPr="00002152" w:rsidRDefault="00002152" w:rsidP="00002152">
      <w:pPr>
        <w:pStyle w:val="aa"/>
        <w:jc w:val="left"/>
        <w:rPr>
          <w:bCs/>
          <w:sz w:val="16"/>
          <w:szCs w:val="16"/>
        </w:rPr>
      </w:pPr>
    </w:p>
    <w:p w:rsidR="003615EB" w:rsidRDefault="00002152" w:rsidP="00002152">
      <w:pPr>
        <w:pStyle w:val="aa"/>
        <w:jc w:val="right"/>
        <w:rPr>
          <w:sz w:val="22"/>
          <w:szCs w:val="22"/>
        </w:rPr>
      </w:pPr>
      <w:r w:rsidRPr="00002152">
        <w:rPr>
          <w:sz w:val="22"/>
          <w:szCs w:val="22"/>
        </w:rPr>
        <w:t xml:space="preserve"> </w:t>
      </w:r>
    </w:p>
    <w:p w:rsidR="00002152" w:rsidRPr="006B4132" w:rsidRDefault="002C29E2" w:rsidP="00002152">
      <w:pPr>
        <w:pStyle w:val="aa"/>
        <w:jc w:val="right"/>
        <w:rPr>
          <w:sz w:val="24"/>
          <w:szCs w:val="24"/>
        </w:rPr>
      </w:pPr>
      <w:r>
        <w:rPr>
          <w:sz w:val="24"/>
          <w:szCs w:val="24"/>
        </w:rPr>
        <w:t>30 сентября</w:t>
      </w:r>
      <w:r w:rsidR="00002152" w:rsidRPr="006B4132">
        <w:rPr>
          <w:sz w:val="24"/>
          <w:szCs w:val="24"/>
        </w:rPr>
        <w:t xml:space="preserve">  202</w:t>
      </w:r>
      <w:r w:rsidR="00C5146A" w:rsidRPr="006B4132">
        <w:rPr>
          <w:sz w:val="24"/>
          <w:szCs w:val="24"/>
        </w:rPr>
        <w:t>5</w:t>
      </w:r>
      <w:r w:rsidR="00002152" w:rsidRPr="006B4132">
        <w:rPr>
          <w:sz w:val="24"/>
          <w:szCs w:val="24"/>
        </w:rPr>
        <w:t xml:space="preserve"> г.</w:t>
      </w:r>
      <w:r w:rsidR="00002152" w:rsidRPr="00002152"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 xml:space="preserve">                      </w:t>
      </w:r>
      <w:r w:rsidR="00D61F81">
        <w:rPr>
          <w:sz w:val="20"/>
        </w:rPr>
        <w:t xml:space="preserve"> </w:t>
      </w:r>
      <w:r w:rsidR="00002152" w:rsidRPr="006B4132">
        <w:rPr>
          <w:sz w:val="24"/>
          <w:szCs w:val="24"/>
        </w:rPr>
        <w:t>ПОСТАНОВЛЕНИЕ  №</w:t>
      </w:r>
      <w:r>
        <w:rPr>
          <w:sz w:val="24"/>
          <w:szCs w:val="24"/>
          <w:u w:val="single"/>
        </w:rPr>
        <w:t>55</w:t>
      </w:r>
      <w:r w:rsidR="00002152" w:rsidRPr="006B413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002152" w:rsidRPr="006B4132" w:rsidRDefault="00895FD2" w:rsidP="00002152">
      <w:pPr>
        <w:ind w:left="7560" w:hanging="1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02152" w:rsidRPr="006B4132">
        <w:rPr>
          <w:rFonts w:ascii="Times New Roman" w:hAnsi="Times New Roman" w:cs="Times New Roman"/>
          <w:sz w:val="24"/>
          <w:szCs w:val="24"/>
        </w:rPr>
        <w:t xml:space="preserve"> УНАФЭ   №___ </w:t>
      </w:r>
    </w:p>
    <w:p w:rsidR="00002152" w:rsidRPr="006B4132" w:rsidRDefault="00002152" w:rsidP="002E1BC4">
      <w:pPr>
        <w:pStyle w:val="a8"/>
        <w:rPr>
          <w:rFonts w:ascii="Times New Roman" w:hAnsi="Times New Roman" w:cs="Times New Roman"/>
          <w:sz w:val="24"/>
          <w:szCs w:val="24"/>
        </w:rPr>
      </w:pPr>
      <w:r w:rsidRPr="006B4132">
        <w:rPr>
          <w:rFonts w:ascii="Times New Roman" w:hAnsi="Times New Roman" w:cs="Times New Roman"/>
          <w:sz w:val="24"/>
          <w:szCs w:val="24"/>
        </w:rPr>
        <w:tab/>
      </w:r>
      <w:r w:rsidRPr="006B4132">
        <w:rPr>
          <w:rFonts w:ascii="Times New Roman" w:hAnsi="Times New Roman" w:cs="Times New Roman"/>
          <w:sz w:val="24"/>
          <w:szCs w:val="24"/>
        </w:rPr>
        <w:tab/>
      </w:r>
      <w:r w:rsidRPr="006B4132">
        <w:rPr>
          <w:rFonts w:ascii="Times New Roman" w:hAnsi="Times New Roman" w:cs="Times New Roman"/>
          <w:sz w:val="24"/>
          <w:szCs w:val="24"/>
        </w:rPr>
        <w:tab/>
      </w:r>
      <w:r w:rsidRPr="006B4132">
        <w:rPr>
          <w:rFonts w:ascii="Times New Roman" w:hAnsi="Times New Roman" w:cs="Times New Roman"/>
          <w:sz w:val="24"/>
          <w:szCs w:val="24"/>
        </w:rPr>
        <w:tab/>
      </w:r>
      <w:r w:rsidRPr="006B4132">
        <w:rPr>
          <w:rFonts w:ascii="Times New Roman" w:hAnsi="Times New Roman" w:cs="Times New Roman"/>
          <w:sz w:val="24"/>
          <w:szCs w:val="24"/>
        </w:rPr>
        <w:tab/>
      </w:r>
      <w:r w:rsidRPr="006B4132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Pr="006B413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B4132">
        <w:rPr>
          <w:rFonts w:ascii="Times New Roman" w:hAnsi="Times New Roman" w:cs="Times New Roman"/>
          <w:sz w:val="24"/>
          <w:szCs w:val="24"/>
        </w:rPr>
        <w:t xml:space="preserve">         </w:t>
      </w:r>
      <w:r w:rsidR="006B413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B4132">
        <w:rPr>
          <w:rFonts w:ascii="Times New Roman" w:hAnsi="Times New Roman" w:cs="Times New Roman"/>
          <w:sz w:val="24"/>
          <w:szCs w:val="24"/>
        </w:rPr>
        <w:t>БЕГИМИ   №___</w:t>
      </w:r>
    </w:p>
    <w:p w:rsidR="006B4132" w:rsidRDefault="006B4132" w:rsidP="00B858E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C29E2" w:rsidRPr="002C29E2" w:rsidRDefault="002C29E2" w:rsidP="002C29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9E2">
        <w:rPr>
          <w:rFonts w:ascii="Times New Roman" w:hAnsi="Times New Roman" w:cs="Times New Roman"/>
          <w:b/>
          <w:sz w:val="24"/>
          <w:szCs w:val="24"/>
        </w:rPr>
        <w:t xml:space="preserve">Об утверждении Порядка формирования перечня налоговых расходов и оценки налоговых расходов сельского поселения </w:t>
      </w:r>
      <w:proofErr w:type="gramStart"/>
      <w:r w:rsidRPr="002C29E2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29E2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Кабардино-Балкарской Республики</w:t>
      </w:r>
    </w:p>
    <w:p w:rsidR="002C29E2" w:rsidRPr="002C29E2" w:rsidRDefault="002C29E2" w:rsidP="002C29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В соответствии со </w:t>
      </w:r>
      <w:hyperlink r:id="rId7" w:history="1">
        <w:r w:rsidRPr="002C29E2">
          <w:rPr>
            <w:rFonts w:ascii="Times New Roman" w:hAnsi="Times New Roman" w:cs="Times New Roman"/>
            <w:bCs/>
            <w:sz w:val="24"/>
            <w:szCs w:val="24"/>
          </w:rPr>
          <w:t>статьей 174.3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Бюджетного кодекса Российской Федерации, </w:t>
      </w:r>
      <w:hyperlink r:id="rId8" w:history="1">
        <w:r w:rsidRPr="002C29E2">
          <w:rPr>
            <w:rFonts w:ascii="Times New Roman" w:hAnsi="Times New Roman" w:cs="Times New Roman"/>
            <w:bCs/>
            <w:sz w:val="24"/>
            <w:szCs w:val="24"/>
          </w:rPr>
          <w:t>постановлением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 местная администрация сельского поселения </w:t>
      </w:r>
      <w:proofErr w:type="gramStart"/>
      <w:r w:rsidRPr="002C29E2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C29E2">
        <w:rPr>
          <w:rFonts w:ascii="Times New Roman" w:hAnsi="Times New Roman" w:cs="Times New Roman"/>
          <w:bCs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КБР постановляет: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1. Утвердить прилагаемый </w:t>
      </w:r>
      <w:hyperlink r:id="rId9" w:history="1">
        <w:r w:rsidRPr="002C29E2">
          <w:rPr>
            <w:rFonts w:ascii="Times New Roman" w:hAnsi="Times New Roman" w:cs="Times New Roman"/>
            <w:bCs/>
            <w:sz w:val="24"/>
            <w:szCs w:val="24"/>
          </w:rPr>
          <w:t>Порядок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 xml:space="preserve"> формирования перечня налоговых расходов и оценки налоговых расходов сельского поселения </w:t>
      </w:r>
      <w:proofErr w:type="gramStart"/>
      <w:r w:rsidRPr="002C29E2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C29E2">
        <w:rPr>
          <w:rFonts w:ascii="Times New Roman" w:hAnsi="Times New Roman" w:cs="Times New Roman"/>
          <w:bCs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Кабардино-Балкарской Республики.</w:t>
      </w:r>
    </w:p>
    <w:p w:rsidR="002C29E2" w:rsidRPr="002C29E2" w:rsidRDefault="002C29E2" w:rsidP="002C2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      2. </w:t>
      </w:r>
      <w:r w:rsidRPr="002C29E2">
        <w:rPr>
          <w:rFonts w:ascii="Times New Roman" w:eastAsia="Calibri" w:hAnsi="Times New Roman" w:cs="Times New Roman"/>
          <w:sz w:val="24"/>
          <w:szCs w:val="24"/>
        </w:rPr>
        <w:t xml:space="preserve">Признать утратившим силу </w:t>
      </w:r>
      <w:hyperlink r:id="rId10">
        <w:r w:rsidRPr="002C29E2">
          <w:rPr>
            <w:rFonts w:ascii="Times New Roman" w:eastAsia="Calibri" w:hAnsi="Times New Roman" w:cs="Times New Roman"/>
            <w:sz w:val="24"/>
            <w:szCs w:val="24"/>
          </w:rPr>
          <w:t>постановление</w:t>
        </w:r>
      </w:hyperlink>
      <w:r w:rsidRPr="002C29E2">
        <w:rPr>
          <w:rFonts w:ascii="Times New Roman" w:eastAsia="Calibri" w:hAnsi="Times New Roman" w:cs="Times New Roman"/>
          <w:sz w:val="24"/>
          <w:szCs w:val="24"/>
        </w:rPr>
        <w:t xml:space="preserve"> местной администрации сельского поселения Ново-Полтавское </w:t>
      </w:r>
      <w:proofErr w:type="spellStart"/>
      <w:r w:rsidRPr="002C29E2">
        <w:rPr>
          <w:rFonts w:ascii="Times New Roman" w:eastAsia="Calibri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КБР от 28 апреля 2020 года №14</w:t>
      </w:r>
      <w:r w:rsidRPr="002C29E2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Pr="002C29E2">
        <w:rPr>
          <w:rFonts w:ascii="Times New Roman" w:hAnsi="Times New Roman" w:cs="Times New Roman"/>
          <w:sz w:val="24"/>
          <w:szCs w:val="24"/>
        </w:rPr>
        <w:t xml:space="preserve">Об утверждении Порядка формирования и ведения реестра источников доходов сельского поселения Ново-Полтавское </w:t>
      </w: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  <w:r w:rsidRPr="002C29E2">
        <w:rPr>
          <w:rFonts w:ascii="Times New Roman" w:eastAsia="Calibri" w:hAnsi="Times New Roman" w:cs="Times New Roman"/>
          <w:bCs/>
          <w:sz w:val="24"/>
          <w:szCs w:val="24"/>
        </w:rPr>
        <w:t>».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2C29E2">
        <w:rPr>
          <w:rFonts w:ascii="Times New Roman" w:hAnsi="Times New Roman" w:cs="Times New Roman"/>
          <w:sz w:val="24"/>
          <w:szCs w:val="24"/>
        </w:rPr>
        <w:t xml:space="preserve">Обнародовать  настоящее Постановление в соответствие с Уставом, с  </w:t>
      </w:r>
      <w:r w:rsidRPr="002C29E2">
        <w:rPr>
          <w:rFonts w:ascii="Times New Roman" w:eastAsia="Times New Roman" w:hAnsi="Times New Roman" w:cs="Times New Roman"/>
          <w:bCs/>
          <w:spacing w:val="1"/>
          <w:sz w:val="24"/>
          <w:szCs w:val="24"/>
        </w:rPr>
        <w:t xml:space="preserve">одновременным  размещением </w:t>
      </w:r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 официальном сайте местной администрации сельского поселения Ново-Полтавское </w:t>
      </w:r>
      <w:proofErr w:type="spellStart"/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>Прохладненского</w:t>
      </w:r>
      <w:proofErr w:type="spellEnd"/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11" w:history="1">
        <w:r w:rsidRPr="002C29E2">
          <w:rPr>
            <w:rStyle w:val="a5"/>
            <w:sz w:val="24"/>
            <w:szCs w:val="24"/>
          </w:rPr>
          <w:t>https://prohladnenskiy.kbr.ru/</w:t>
        </w:r>
        <w:r w:rsidRPr="002C29E2">
          <w:rPr>
            <w:rStyle w:val="a5"/>
            <w:sz w:val="24"/>
            <w:szCs w:val="24"/>
            <w:lang w:val="en-US"/>
          </w:rPr>
          <w:t>management</w:t>
        </w:r>
        <w:r w:rsidRPr="002C29E2">
          <w:rPr>
            <w:rStyle w:val="a5"/>
            <w:sz w:val="24"/>
            <w:szCs w:val="24"/>
          </w:rPr>
          <w:t>/</w:t>
        </w:r>
        <w:proofErr w:type="spellStart"/>
        <w:r w:rsidRPr="002C29E2">
          <w:rPr>
            <w:rStyle w:val="a5"/>
            <w:sz w:val="24"/>
            <w:szCs w:val="24"/>
            <w:lang w:val="en-US"/>
          </w:rPr>
          <w:t>territorialnye</w:t>
        </w:r>
        <w:proofErr w:type="spellEnd"/>
        <w:r w:rsidRPr="002C29E2">
          <w:rPr>
            <w:rStyle w:val="a5"/>
            <w:sz w:val="24"/>
            <w:szCs w:val="24"/>
          </w:rPr>
          <w:t>-</w:t>
        </w:r>
        <w:proofErr w:type="spellStart"/>
        <w:r w:rsidRPr="002C29E2">
          <w:rPr>
            <w:rStyle w:val="a5"/>
            <w:sz w:val="24"/>
            <w:szCs w:val="24"/>
            <w:lang w:val="en-US"/>
          </w:rPr>
          <w:t>ispolnitelnye</w:t>
        </w:r>
        <w:proofErr w:type="spellEnd"/>
        <w:r w:rsidRPr="002C29E2">
          <w:rPr>
            <w:rStyle w:val="a5"/>
            <w:sz w:val="24"/>
            <w:szCs w:val="24"/>
          </w:rPr>
          <w:t>-</w:t>
        </w:r>
        <w:proofErr w:type="spellStart"/>
        <w:r w:rsidRPr="002C29E2">
          <w:rPr>
            <w:rStyle w:val="a5"/>
            <w:sz w:val="24"/>
            <w:szCs w:val="24"/>
            <w:lang w:val="en-US"/>
          </w:rPr>
          <w:t>organy</w:t>
        </w:r>
        <w:proofErr w:type="spellEnd"/>
        <w:r w:rsidRPr="002C29E2">
          <w:rPr>
            <w:rStyle w:val="a5"/>
            <w:sz w:val="24"/>
            <w:szCs w:val="24"/>
          </w:rPr>
          <w:t>/</w:t>
        </w:r>
        <w:proofErr w:type="spellStart"/>
        <w:r w:rsidRPr="002C29E2">
          <w:rPr>
            <w:rStyle w:val="a5"/>
            <w:sz w:val="24"/>
            <w:szCs w:val="24"/>
            <w:lang w:val="en-US"/>
          </w:rPr>
          <w:t>selskoe</w:t>
        </w:r>
        <w:proofErr w:type="spellEnd"/>
        <w:r w:rsidRPr="002C29E2">
          <w:rPr>
            <w:rStyle w:val="a5"/>
            <w:sz w:val="24"/>
            <w:szCs w:val="24"/>
          </w:rPr>
          <w:t>-</w:t>
        </w:r>
        <w:proofErr w:type="spellStart"/>
        <w:r w:rsidRPr="002C29E2">
          <w:rPr>
            <w:rStyle w:val="a5"/>
            <w:sz w:val="24"/>
            <w:szCs w:val="24"/>
            <w:lang w:val="en-US"/>
          </w:rPr>
          <w:t>poselenie</w:t>
        </w:r>
        <w:proofErr w:type="spellEnd"/>
        <w:r w:rsidRPr="002C29E2">
          <w:rPr>
            <w:rStyle w:val="a5"/>
            <w:sz w:val="24"/>
            <w:szCs w:val="24"/>
          </w:rPr>
          <w:t>-</w:t>
        </w:r>
        <w:r w:rsidRPr="002C29E2">
          <w:rPr>
            <w:rStyle w:val="a5"/>
            <w:sz w:val="24"/>
            <w:szCs w:val="24"/>
            <w:lang w:val="en-US"/>
          </w:rPr>
          <w:t>novo</w:t>
        </w:r>
        <w:r w:rsidRPr="002C29E2">
          <w:rPr>
            <w:rStyle w:val="a5"/>
            <w:sz w:val="24"/>
            <w:szCs w:val="24"/>
          </w:rPr>
          <w:t>-</w:t>
        </w:r>
        <w:proofErr w:type="spellStart"/>
        <w:r w:rsidRPr="002C29E2">
          <w:rPr>
            <w:rStyle w:val="a5"/>
            <w:sz w:val="24"/>
            <w:szCs w:val="24"/>
            <w:lang w:val="en-US"/>
          </w:rPr>
          <w:t>poltavskoe</w:t>
        </w:r>
        <w:proofErr w:type="spellEnd"/>
        <w:r w:rsidRPr="002C29E2">
          <w:rPr>
            <w:rStyle w:val="a5"/>
            <w:sz w:val="24"/>
            <w:szCs w:val="24"/>
          </w:rPr>
          <w:t>/</w:t>
        </w:r>
      </w:hyperlink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>4. Контроль по исполнению настоящего постановления оставляю за собой.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>5. Настоящее постановление вступает в силу с момента его официального опубликования и распространяется на правоотношения, возникшие с 1 января 2025 года.</w:t>
      </w:r>
    </w:p>
    <w:p w:rsidR="002C29E2" w:rsidRPr="002C29E2" w:rsidRDefault="002C29E2" w:rsidP="002C2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182A43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2C29E2" w:rsidRPr="002C29E2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C29E2" w:rsidRPr="002C29E2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C29E2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Е.Ф.Русакевич</w:t>
      </w:r>
      <w:proofErr w:type="spellEnd"/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30 сентября 2025 г. № 55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9E2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9E2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 ПЕРЕЧНЯ НАЛОГОВЫХ РАСХОДОВ И ОЦЕНКИ НАЛОГОВЫХ РАСХОДОВ СЕЛЬСКОГО ПОСЕЛЕНИЯ </w:t>
      </w:r>
      <w:proofErr w:type="gramStart"/>
      <w:r w:rsidRPr="002C29E2">
        <w:rPr>
          <w:rFonts w:ascii="Times New Roman" w:hAnsi="Times New Roman" w:cs="Times New Roman"/>
          <w:b/>
          <w:bCs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b/>
          <w:bCs/>
          <w:sz w:val="24"/>
          <w:szCs w:val="24"/>
        </w:rPr>
        <w:t xml:space="preserve"> ПРОХЛАДНЕНСКОГО МУНИЦИПАЛЬНОГО РАЙОНА КАБАРДИНО-БАЛКАРСКОЙ РЕСПУБЛИКИ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C29E2"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1. Настоящий Порядок определяет процедуру формирования перечня налоговых расходов и проведения оценки налоговых расходов сельского поселения Ново-Полтавское </w:t>
      </w: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(далее – поселение).</w:t>
      </w:r>
    </w:p>
    <w:p w:rsidR="002C29E2" w:rsidRPr="002C29E2" w:rsidRDefault="002C29E2" w:rsidP="002C29E2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C29E2">
        <w:rPr>
          <w:sz w:val="24"/>
          <w:szCs w:val="24"/>
        </w:rPr>
        <w:t xml:space="preserve">2. </w:t>
      </w:r>
      <w:proofErr w:type="gramStart"/>
      <w:r w:rsidRPr="002C29E2">
        <w:rPr>
          <w:sz w:val="24"/>
          <w:szCs w:val="24"/>
        </w:rPr>
        <w:t xml:space="preserve">Понятия, используемые в настоящей Порядке, употребляются в значениях, определенных в </w:t>
      </w:r>
      <w:hyperlink r:id="rId12">
        <w:r w:rsidRPr="002C29E2">
          <w:rPr>
            <w:sz w:val="24"/>
            <w:szCs w:val="24"/>
          </w:rPr>
          <w:t>Постановлении</w:t>
        </w:r>
      </w:hyperlink>
      <w:r w:rsidRPr="002C29E2">
        <w:rPr>
          <w:sz w:val="24"/>
          <w:szCs w:val="24"/>
        </w:rPr>
        <w:t xml:space="preserve"> Правительства Российской Федерации от 22.06.2019 № 796 "Об общих требованиях к оценке налоговых расходов субъектов Российской Федерации и муниципальных образований".</w:t>
      </w:r>
      <w:proofErr w:type="gramEnd"/>
    </w:p>
    <w:p w:rsidR="002C29E2" w:rsidRPr="002C29E2" w:rsidRDefault="002C29E2" w:rsidP="002C29E2">
      <w:pPr>
        <w:pStyle w:val="ConsPlusNormal"/>
        <w:spacing w:before="220"/>
        <w:ind w:firstLine="540"/>
        <w:jc w:val="both"/>
        <w:rPr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3. В целях оценки налоговых расходов поселения администрация сельского поселения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администрация):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а) формирует перечень налоговых расходов;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б) формирует информацию о нормативных, целевых и фискальных характеристиках налоговых расходов;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в) обобщает результаты оценки эффективности налоговых расходов, осуществляемой кураторами налоговых расходов;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г) определяет участие соисполнителя куратора налогового расхода в проведении оценки налоговых расходов;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д) рассматривает предложения о сохранении (уточнении, отмене) льгот для плательщиков.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4. В целях оценки налоговых расходов администрация формирует и представляет в отношении каждого налогового расхода данные о значениях фискальных характеристик соответствующего налогового расхода за отчетный финансовый год, а также информацию о стимулирующих налоговых расходах за 6 лет, предшествующих отчетному финансовому году.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5. В целях оценки налоговых расходов администрация:</w:t>
      </w:r>
    </w:p>
    <w:p w:rsidR="002C29E2" w:rsidRPr="002C29E2" w:rsidRDefault="002C29E2" w:rsidP="002C29E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а) формирует паспорта налоговых расходов, содержащие информацию по перечню, согласно </w:t>
      </w:r>
      <w:hyperlink r:id="rId13" w:history="1">
        <w:r w:rsidRPr="002C29E2">
          <w:rPr>
            <w:rFonts w:ascii="Times New Roman" w:hAnsi="Times New Roman" w:cs="Times New Roman"/>
            <w:sz w:val="24"/>
            <w:szCs w:val="24"/>
          </w:rPr>
          <w:t>приложению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к настоящему Порядку;</w:t>
      </w:r>
    </w:p>
    <w:p w:rsidR="002C29E2" w:rsidRPr="002C29E2" w:rsidRDefault="002C29E2" w:rsidP="002C29E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б) осуществляет оценку эффективности каждого курируемого налогового расхода.</w:t>
      </w:r>
    </w:p>
    <w:p w:rsidR="002C29E2" w:rsidRPr="002C29E2" w:rsidRDefault="002C29E2" w:rsidP="002C29E2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9E2">
        <w:rPr>
          <w:rFonts w:ascii="Times New Roman" w:hAnsi="Times New Roman" w:cs="Times New Roman"/>
          <w:b/>
          <w:sz w:val="24"/>
          <w:szCs w:val="24"/>
        </w:rPr>
        <w:t>II. Формирование перечня налоговых расходов</w:t>
      </w:r>
    </w:p>
    <w:p w:rsidR="002C29E2" w:rsidRPr="002C29E2" w:rsidRDefault="002C29E2" w:rsidP="002C29E2">
      <w:pPr>
        <w:autoSpaceDE w:val="0"/>
        <w:autoSpaceDN w:val="0"/>
        <w:adjustRightInd w:val="0"/>
        <w:spacing w:before="220"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6. Проект перечня налоговых расходов </w:t>
      </w:r>
      <w:r w:rsidRPr="002C29E2">
        <w:rPr>
          <w:rFonts w:ascii="Times New Roman" w:hAnsi="Times New Roman" w:cs="Times New Roman"/>
          <w:sz w:val="24"/>
          <w:szCs w:val="24"/>
        </w:rPr>
        <w:t>или предложения о внесении изменений в перечень налоговых расходов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поселения формируется администрацией до 25 марта и направляется на </w:t>
      </w:r>
      <w:r w:rsidRPr="002C29E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согласование </w:t>
      </w:r>
      <w:r w:rsidRPr="002C29E2">
        <w:rPr>
          <w:rFonts w:ascii="Times New Roman" w:hAnsi="Times New Roman" w:cs="Times New Roman"/>
          <w:sz w:val="24"/>
          <w:szCs w:val="24"/>
        </w:rPr>
        <w:t>кураторам налоговых расходов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поселения, а также иным органам и организациям, которые </w:t>
      </w:r>
      <w:r w:rsidRPr="002C29E2">
        <w:rPr>
          <w:rFonts w:ascii="Times New Roman" w:hAnsi="Times New Roman" w:cs="Times New Roman"/>
          <w:sz w:val="24"/>
          <w:szCs w:val="24"/>
        </w:rPr>
        <w:t>предлагается определить в качестве кураторов налоговых расходов</w:t>
      </w:r>
      <w:r w:rsidRPr="002C29E2">
        <w:rPr>
          <w:rFonts w:ascii="Times New Roman" w:hAnsi="Times New Roman" w:cs="Times New Roman"/>
          <w:bCs/>
          <w:sz w:val="24"/>
          <w:szCs w:val="24"/>
        </w:rPr>
        <w:t>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0"/>
      <w:bookmarkEnd w:id="1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7. </w:t>
      </w:r>
      <w:proofErr w:type="gramStart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Указанные в </w:t>
      </w:r>
      <w:hyperlink r:id="rId14" w:history="1">
        <w:r w:rsidRPr="002C29E2">
          <w:rPr>
            <w:rFonts w:ascii="Times New Roman" w:hAnsi="Times New Roman" w:cs="Times New Roman"/>
            <w:bCs/>
            <w:sz w:val="24"/>
            <w:szCs w:val="24"/>
          </w:rPr>
          <w:t>пункте 6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настоящего Порядка кураторы налоговых расходов, органы, организации в срок до 10 апреля текущего финансового года рассматривают проект перечня налоговых расходов </w:t>
      </w:r>
      <w:r w:rsidRPr="002C29E2">
        <w:rPr>
          <w:rFonts w:ascii="Times New Roman" w:hAnsi="Times New Roman" w:cs="Times New Roman"/>
          <w:sz w:val="24"/>
          <w:szCs w:val="24"/>
        </w:rPr>
        <w:t>или предложения о внесении изменений в перечень налоговых расходов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поселения на предмет распределения налоговых расходов по </w:t>
      </w:r>
      <w:r w:rsidRPr="002C29E2">
        <w:rPr>
          <w:rFonts w:ascii="Times New Roman" w:hAnsi="Times New Roman" w:cs="Times New Roman"/>
          <w:sz w:val="24"/>
          <w:szCs w:val="24"/>
        </w:rPr>
        <w:t xml:space="preserve">целям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муниципальных программ поселения </w:t>
      </w:r>
      <w:r w:rsidRPr="002C29E2">
        <w:rPr>
          <w:rFonts w:ascii="Times New Roman" w:hAnsi="Times New Roman" w:cs="Times New Roman"/>
          <w:sz w:val="24"/>
          <w:szCs w:val="24"/>
        </w:rPr>
        <w:t xml:space="preserve">и (или) целям социально-экономической политики </w:t>
      </w:r>
      <w:r w:rsidRPr="002C29E2">
        <w:rPr>
          <w:rFonts w:ascii="Times New Roman" w:hAnsi="Times New Roman" w:cs="Times New Roman"/>
          <w:bCs/>
          <w:sz w:val="24"/>
          <w:szCs w:val="24"/>
        </w:rPr>
        <w:t>поселения,</w:t>
      </w:r>
      <w:r w:rsidRPr="002C29E2">
        <w:rPr>
          <w:rFonts w:ascii="Times New Roman" w:hAnsi="Times New Roman" w:cs="Times New Roman"/>
          <w:sz w:val="24"/>
          <w:szCs w:val="24"/>
        </w:rPr>
        <w:t xml:space="preserve"> не относящимся к муниципальным программам поселения и определения кураторов налоговых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 xml:space="preserve"> расходов.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C29E2">
        <w:rPr>
          <w:rFonts w:ascii="Times New Roman" w:hAnsi="Times New Roman" w:cs="Times New Roman"/>
          <w:sz w:val="24"/>
          <w:szCs w:val="24"/>
        </w:rPr>
        <w:t xml:space="preserve">Замечания и предложения по уточнению проекта перечня налоговых расходов направляются в </w:t>
      </w:r>
      <w:r w:rsidRPr="002C29E2">
        <w:rPr>
          <w:rFonts w:ascii="Times New Roman" w:hAnsi="Times New Roman" w:cs="Times New Roman"/>
          <w:bCs/>
          <w:sz w:val="24"/>
          <w:szCs w:val="24"/>
        </w:rPr>
        <w:t>администрацию.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В случае если замечания и предложения не направлены в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администрацию </w:t>
      </w:r>
      <w:r w:rsidRPr="002C29E2">
        <w:rPr>
          <w:rFonts w:ascii="Times New Roman" w:hAnsi="Times New Roman" w:cs="Times New Roman"/>
          <w:sz w:val="24"/>
          <w:szCs w:val="24"/>
        </w:rPr>
        <w:t xml:space="preserve">в течение срока, указанного в </w:t>
      </w:r>
      <w:hyperlink r:id="rId15" w:history="1">
        <w:r w:rsidRPr="002C29E2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пункта, проект перечня налоговых расходов считается согласованным в соответствующей части.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 поселения в соответствии с целями муниципальных программ поселения и (или) целями социально-экономической политики поселения, не относящимися к муниципальным программам поселения, проект перечня налоговых расходов считается согласованным в соответствующей части.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"/>
      <w:bookmarkEnd w:id="2"/>
      <w:r w:rsidRPr="002C29E2">
        <w:rPr>
          <w:rFonts w:ascii="Times New Roman" w:hAnsi="Times New Roman" w:cs="Times New Roman"/>
          <w:sz w:val="24"/>
          <w:szCs w:val="24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поселения или предложениям о внесении изменений в перечень налоговых расходов поселения, не требуется, за исключением случаев внесения изменений в перечень муниципальных программ поселения и (или) случаев изменения полномочий органов, указанных в </w:t>
      </w:r>
      <w:hyperlink r:id="rId16" w:history="1">
        <w:r w:rsidRPr="002C29E2">
          <w:rPr>
            <w:rFonts w:ascii="Times New Roman" w:hAnsi="Times New Roman" w:cs="Times New Roman"/>
            <w:sz w:val="24"/>
            <w:szCs w:val="24"/>
          </w:rPr>
          <w:t>пункте 6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8.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 xml:space="preserve">В случае несогласия с проектом перечня налоговых расходов или предложениями о внесении изменений в перечень налоговых расходов поселения кураторы налоговых расходов в срок, указанный в </w:t>
      </w:r>
      <w:hyperlink r:id="rId17" w:history="1">
        <w:r w:rsidRPr="002C29E2">
          <w:rPr>
            <w:rFonts w:ascii="Times New Roman" w:hAnsi="Times New Roman" w:cs="Times New Roman"/>
            <w:sz w:val="24"/>
            <w:szCs w:val="24"/>
          </w:rPr>
          <w:t>абзаце первом пункта 7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Порядка, направляют в </w:t>
      </w:r>
      <w:r w:rsidRPr="002C29E2">
        <w:rPr>
          <w:rFonts w:ascii="Times New Roman" w:hAnsi="Times New Roman" w:cs="Times New Roman"/>
          <w:bCs/>
          <w:sz w:val="24"/>
          <w:szCs w:val="24"/>
        </w:rPr>
        <w:t>администрацию</w:t>
      </w:r>
      <w:r w:rsidRPr="002C29E2">
        <w:rPr>
          <w:rFonts w:ascii="Times New Roman" w:hAnsi="Times New Roman" w:cs="Times New Roman"/>
          <w:sz w:val="24"/>
          <w:szCs w:val="24"/>
        </w:rPr>
        <w:t xml:space="preserve"> предложения по уточнению распределения налоговых расходов поселения по целям муниципальных программ поселения и (или) целям социально-экономической политики поселения, не относящимся к муниципальным программам поселения, и (или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>) предложения по изменению кураторов налоговых расходов поселения, предусмотренных проектом перечня налоговых расходов или предложениями о внесении изменений в перечень налоговых расходов поселения. Предложения по изменению кураторов налоговых расходов поселения, вносимые соответствующим куратором налоговых расходов поселения, должны быть согласованы с предлагаемыми кураторами налоговых расходов поселения.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9. В случае несогласия кураторов налоговых расходов поселения с проектом перечня налоговых расходов или предложениями о внесении изменений в перечень налоговых расходов поселения и предложениями по изменению кураторов налоговых расходов поселения </w:t>
      </w:r>
      <w:r w:rsidRPr="002C29E2">
        <w:rPr>
          <w:rFonts w:ascii="Times New Roman" w:hAnsi="Times New Roman" w:cs="Times New Roman"/>
          <w:bCs/>
          <w:sz w:val="24"/>
          <w:szCs w:val="24"/>
        </w:rPr>
        <w:t>администрация</w:t>
      </w:r>
      <w:r w:rsidRPr="002C29E2">
        <w:rPr>
          <w:rFonts w:ascii="Times New Roman" w:hAnsi="Times New Roman" w:cs="Times New Roman"/>
          <w:sz w:val="24"/>
          <w:szCs w:val="24"/>
        </w:rPr>
        <w:t xml:space="preserve"> до 20 апреля обеспечивает проведение согласительных процедур с данными кураторами налоговых расходов поселения.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Разногласия, не урегулированные по результатам согласительных процедур, рассматриваются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главой местной администрации сельского поселения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2C29E2">
        <w:rPr>
          <w:rFonts w:ascii="Times New Roman" w:hAnsi="Times New Roman" w:cs="Times New Roman"/>
          <w:bCs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</w:t>
      </w:r>
      <w:r w:rsidRPr="002C29E2">
        <w:rPr>
          <w:rFonts w:ascii="Times New Roman" w:hAnsi="Times New Roman" w:cs="Times New Roman"/>
          <w:sz w:val="24"/>
          <w:szCs w:val="24"/>
        </w:rPr>
        <w:t xml:space="preserve"> в сроки, указанные в </w:t>
      </w:r>
      <w:hyperlink r:id="rId18" w:history="1">
        <w:r w:rsidRPr="002C29E2">
          <w:rPr>
            <w:rFonts w:ascii="Times New Roman" w:hAnsi="Times New Roman" w:cs="Times New Roman"/>
            <w:sz w:val="24"/>
            <w:szCs w:val="24"/>
          </w:rPr>
          <w:t>пункте 12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29E2" w:rsidRPr="002C29E2" w:rsidRDefault="002C29E2" w:rsidP="002C29E2">
      <w:pPr>
        <w:pStyle w:val="a8"/>
        <w:rPr>
          <w:rFonts w:ascii="Times New Roman" w:hAnsi="Times New Roman" w:cs="Times New Roman"/>
          <w:bCs/>
          <w:sz w:val="24"/>
          <w:szCs w:val="24"/>
        </w:rPr>
      </w:pPr>
      <w:r w:rsidRPr="002C29E2">
        <w:rPr>
          <w:bCs/>
          <w:sz w:val="24"/>
          <w:szCs w:val="24"/>
        </w:rPr>
        <w:t xml:space="preserve">      10.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Перечень налоговых расходов размещается </w:t>
      </w:r>
      <w:r w:rsidRPr="002C29E2">
        <w:rPr>
          <w:rFonts w:ascii="Times New Roman" w:hAnsi="Times New Roman" w:cs="Times New Roman"/>
          <w:sz w:val="24"/>
          <w:szCs w:val="24"/>
        </w:rPr>
        <w:t xml:space="preserve">на официальном сайте местной администрации сельского поселения Ново-Полтавское </w:t>
      </w: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в информационно-телекоммуникационной сети </w:t>
      </w:r>
      <w:r w:rsidRPr="002C29E2">
        <w:rPr>
          <w:rFonts w:ascii="Times New Roman" w:hAnsi="Times New Roman" w:cs="Times New Roman"/>
          <w:sz w:val="24"/>
          <w:szCs w:val="24"/>
        </w:rPr>
        <w:lastRenderedPageBreak/>
        <w:t xml:space="preserve">«Интернет» </w:t>
      </w:r>
      <w:hyperlink r:id="rId19" w:history="1"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https://prohladnenskiy.kbr.ru/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management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territorialnye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ispolnitelnye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organy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selskoe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poselenie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novo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poltavskoe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>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а) ежегодно не позднее 30 апреля, за исключением сведений о налоговых расходах, по которым имеются не урегулированные по результатам проведенных в соответствии с </w:t>
      </w:r>
      <w:hyperlink r:id="rId20" w:history="1">
        <w:r w:rsidRPr="002C29E2">
          <w:rPr>
            <w:rFonts w:ascii="Times New Roman" w:hAnsi="Times New Roman" w:cs="Times New Roman"/>
            <w:bCs/>
            <w:sz w:val="24"/>
            <w:szCs w:val="24"/>
          </w:rPr>
          <w:t>пунктом 9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настоящего Порядка согласительных процедур разногласия;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б) не позднее 5 рабочих дней со дня урегулирования разногласий по проекту перечня налоговых расходов или предложениям о внесении изменений в перечень налоговых расходов поселения в соответствии с </w:t>
      </w:r>
      <w:hyperlink r:id="rId21" w:history="1">
        <w:r w:rsidRPr="002C29E2">
          <w:rPr>
            <w:rFonts w:ascii="Times New Roman" w:hAnsi="Times New Roman" w:cs="Times New Roman"/>
            <w:bCs/>
            <w:sz w:val="24"/>
            <w:szCs w:val="24"/>
          </w:rPr>
          <w:t>абзацем вторым пункта 9</w:t>
        </w:r>
      </w:hyperlink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настоящего Порядка.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11.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 xml:space="preserve">В случае внесения в текущем финансовом году изменений в перечень муниципальных программ поселения и (или) в случае изменения полномочий органов, указанных в </w:t>
      </w:r>
      <w:hyperlink r:id="rId22" w:history="1">
        <w:r w:rsidRPr="002C29E2">
          <w:rPr>
            <w:rFonts w:ascii="Times New Roman" w:hAnsi="Times New Roman" w:cs="Times New Roman"/>
            <w:sz w:val="24"/>
            <w:szCs w:val="24"/>
          </w:rPr>
          <w:t>пункте 6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Порядка, требующих изменения информации, включенной в перечень налоговых расходов поселения (в связи с принятием нормативного правового акта поселения, предусматривающего введение и (или) отмену налоговой льготы, изменение срока действия налоговой льготы, изменения признания в текущем финансовом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году утратившими силу положений нормативных правовых актов, которыми предусматриваются льготы, обусловливающие налоговые расходы поселения, внесение изменений в муниципальную программу поселения, перераспределение полномочий между кураторами налоговых расходов поселения), кураторы налоговых расходов поселения в течение 10 рабочих дней с даты вступления в силу нормативного правового акта поселения, предусматривающего соответствующие изменения, направляют в администрацию информацию для уточнения администрацией перечня налоговых расходов поселения.</w:t>
      </w:r>
      <w:proofErr w:type="gramEnd"/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12. Перечень налоговых расходов поселения с внесенными в него изменениями в соответствии с </w:t>
      </w:r>
      <w:hyperlink r:id="rId23" w:history="1">
        <w:r w:rsidRPr="002C29E2">
          <w:rPr>
            <w:rFonts w:ascii="Times New Roman" w:hAnsi="Times New Roman" w:cs="Times New Roman"/>
            <w:sz w:val="24"/>
            <w:szCs w:val="24"/>
          </w:rPr>
          <w:t>пунктом 11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Порядка формируется до 15 декабря текущего финансового года.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9E2">
        <w:rPr>
          <w:rFonts w:ascii="Times New Roman" w:hAnsi="Times New Roman" w:cs="Times New Roman"/>
          <w:b/>
          <w:sz w:val="24"/>
          <w:szCs w:val="24"/>
        </w:rPr>
        <w:t>III. Оценка эффективности налоговых расходов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29E2" w:rsidRPr="002C29E2" w:rsidRDefault="002C29E2" w:rsidP="002C29E2">
      <w:pPr>
        <w:pStyle w:val="a8"/>
        <w:rPr>
          <w:rFonts w:ascii="Times New Roman" w:hAnsi="Times New Roman" w:cs="Times New Roman"/>
          <w:sz w:val="24"/>
          <w:szCs w:val="24"/>
        </w:rPr>
      </w:pPr>
      <w:r w:rsidRPr="002C29E2">
        <w:rPr>
          <w:bCs/>
          <w:sz w:val="24"/>
          <w:szCs w:val="24"/>
        </w:rPr>
        <w:t xml:space="preserve">      13. </w:t>
      </w:r>
      <w:r w:rsidRPr="002C29E2">
        <w:rPr>
          <w:rFonts w:ascii="Times New Roman" w:hAnsi="Times New Roman" w:cs="Times New Roman"/>
          <w:sz w:val="24"/>
          <w:szCs w:val="24"/>
        </w:rPr>
        <w:t xml:space="preserve">Оценка налоговых расходов применяется в отношении налоговых расходов согласно перечню налоговых расходов поселения, размещаемому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на </w:t>
      </w:r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официальном сайте местной администрации сельского поселения Ново-Полтавское </w:t>
      </w:r>
      <w:proofErr w:type="spellStart"/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>Прохладненского</w:t>
      </w:r>
      <w:proofErr w:type="spellEnd"/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муниципального района Кабардино-Балкарской Республики в информационно-телекоммуникационной сети «Интернет» </w:t>
      </w:r>
      <w:hyperlink r:id="rId24" w:history="1"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https://prohladnenskiy.kbr.ru/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management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territorialnye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ispolnitelnye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organy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selskoe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poselenie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novo</w:t>
        </w:r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2C29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poltavskoe</w:t>
        </w:r>
        <w:proofErr w:type="spellEnd"/>
        <w:r w:rsidRPr="002C29E2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</w:hyperlink>
      <w:r w:rsidRPr="002C29E2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  <w:r w:rsidRPr="002C29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Кураторы налоговых расходов, определенные в соответствии с настоящим Порядком по согласованию с администрацией, утверждают методику оценки эффективности налоговых расходов (далее - Методика).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14. Оценка налоговых расходов проводится кураторами налоговых расходов отдельно по каждому налоговому расходу с формированием </w:t>
      </w:r>
      <w:hyperlink r:id="rId25" w:history="1">
        <w:r w:rsidRPr="002C29E2">
          <w:rPr>
            <w:rFonts w:ascii="Times New Roman" w:hAnsi="Times New Roman" w:cs="Times New Roman"/>
            <w:sz w:val="24"/>
            <w:szCs w:val="24"/>
          </w:rPr>
          <w:t>перечня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показателей, предусмотренных приложением к настоящему Порядку.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15. Оценка налоговых расходов проводится ежегодно кураторами налоговых расходов.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16. В целях проведения оценки эффективности налоговых расходов кураторы налоговых расходов направляют в администрацию результаты проведенной оценки налоговых расходов до 5 августа с приложением информации по показателям, определенным </w:t>
      </w:r>
      <w:hyperlink r:id="rId26" w:history="1">
        <w:r w:rsidRPr="002C29E2">
          <w:rPr>
            <w:rFonts w:ascii="Times New Roman" w:hAnsi="Times New Roman" w:cs="Times New Roman"/>
            <w:sz w:val="24"/>
            <w:szCs w:val="24"/>
          </w:rPr>
          <w:t>перечнем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Порядку.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17. Оценка эффективности налоговых расходов осуществляется кураторами налоговых расходов и включает: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а) оценку целесообразности налоговых расходов;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lastRenderedPageBreak/>
        <w:t>б) оценку результативности налоговых расходов.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18. Критериями целесообразности налоговых расходов являются: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соответствие налоговых расходов целям муниципальных программ и (или) целям социально-экономической политики поселения, не относящимся к муниципальным программам поселения;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"/>
      <w:bookmarkEnd w:id="3"/>
      <w:r w:rsidRPr="002C29E2">
        <w:rPr>
          <w:rFonts w:ascii="Times New Roman" w:hAnsi="Times New Roman" w:cs="Times New Roman"/>
          <w:sz w:val="24"/>
          <w:szCs w:val="24"/>
        </w:rPr>
        <w:t xml:space="preserve">востребованность плательщиками предоставленных льгот,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 xml:space="preserve">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</w:t>
      </w:r>
      <w:hyperlink w:anchor="Par3" w:history="1">
        <w:r w:rsidRPr="002C29E2">
          <w:rPr>
            <w:rFonts w:ascii="Times New Roman" w:hAnsi="Times New Roman" w:cs="Times New Roman"/>
            <w:sz w:val="24"/>
            <w:szCs w:val="24"/>
          </w:rPr>
          <w:t>абзаце третьем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пункта, при котором льгота признается востребованной.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19.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 xml:space="preserve">В случае несоответствия налоговых расходов хотя бы одному из критериев, указанных в </w:t>
      </w:r>
      <w:hyperlink r:id="rId27" w:history="1">
        <w:r w:rsidRPr="002C29E2">
          <w:rPr>
            <w:rFonts w:ascii="Times New Roman" w:hAnsi="Times New Roman" w:cs="Times New Roman"/>
            <w:sz w:val="24"/>
            <w:szCs w:val="24"/>
          </w:rPr>
          <w:t>пункте 18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документа, и (или) </w:t>
      </w: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поселения, не относящихся к муниципальным программам поселения, и (или) достижения более высоких показателей результативности применения альтернативных механизмов достижения целей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муниципальной программы поселения и (или) целей социально-экономической политики поселения, не относящихся к муниципальным программам поселения, по результатам оценки бюджетной эффективности налоговых расходов поселения куратору налогового расхода надлежит представить в администрацию предложения о сохранении (уточнении, отмене) льгот для плательщиков.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20. 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 поселения и (или) целей социально-экономической политики поселения, не относящихся к муниципальным программам поселения, либо иной показатель (индикатор), на значение которого оказывают влияние налоговые расходы.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Оценке подлежит вклад предусмотренных для плательщиков льгот в изменение значения показателя (индикатора) достижения целей муниципальной программы поселения и (или) целей социально-экономической политики поселения, не относящихся к муниципальным программам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21.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целей муниципальной программы поселения и (или) целей социально-экономической политики поселения, не относящихся к муниципальным программам поселения, оценку бюджетной эффективности налоговых расходов.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22. </w:t>
      </w:r>
      <w:r w:rsidRPr="002C29E2">
        <w:rPr>
          <w:rFonts w:ascii="Times New Roman" w:hAnsi="Times New Roman" w:cs="Times New Roman"/>
          <w:bCs/>
          <w:sz w:val="24"/>
          <w:szCs w:val="24"/>
        </w:rPr>
        <w:t xml:space="preserve">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</w:t>
      </w:r>
      <w:proofErr w:type="gramStart"/>
      <w:r w:rsidRPr="002C29E2">
        <w:rPr>
          <w:rFonts w:ascii="Times New Roman" w:hAnsi="Times New Roman" w:cs="Times New Roman"/>
          <w:bCs/>
          <w:sz w:val="24"/>
          <w:szCs w:val="24"/>
        </w:rPr>
        <w:t>применения альтернативных механизмов достижения целей муниципальной программы</w:t>
      </w:r>
      <w:proofErr w:type="gramEnd"/>
      <w:r w:rsidRPr="002C29E2">
        <w:rPr>
          <w:rFonts w:ascii="Times New Roman" w:hAnsi="Times New Roman" w:cs="Times New Roman"/>
          <w:bCs/>
          <w:sz w:val="24"/>
          <w:szCs w:val="24"/>
        </w:rPr>
        <w:t xml:space="preserve"> и (или) целей социально-экономической политики, не относящихся к муниципальным программам поселения.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</w:t>
      </w:r>
      <w:r w:rsidRPr="002C29E2">
        <w:rPr>
          <w:rFonts w:ascii="Times New Roman" w:hAnsi="Times New Roman" w:cs="Times New Roman"/>
          <w:bCs/>
          <w:sz w:val="24"/>
          <w:szCs w:val="24"/>
        </w:rPr>
        <w:t>22 (1). При необходимости куратором налогового расхода могут быть установлены дополнительные критерии оценки результативности налогового расхода.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lastRenderedPageBreak/>
        <w:t xml:space="preserve">      23.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и (или) целей социально-экономической политики поселения,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политики, не относящихся к муниципальным программам, на 1 рубль налоговых расходов поселения и на 1 рубль</w:t>
      </w:r>
      <w:proofErr w:type="gramEnd"/>
      <w:r w:rsidRPr="002C29E2">
        <w:rPr>
          <w:rFonts w:ascii="Times New Roman" w:hAnsi="Times New Roman" w:cs="Times New Roman"/>
          <w:sz w:val="24"/>
          <w:szCs w:val="24"/>
        </w:rPr>
        <w:t xml:space="preserve"> расходов бюджета поселения для достижения того же показателя (индикатора) в случае применения альтернативных механизмов).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В качестве альтернативных механизмов достижения целей муниципальной программы и (или) целей социально-экономической политики поселения, не относящихся к муниципальным программам, могут учитываться в том числе: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 поселения;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б) предоставление муниципальных гарантий по обязательствам плательщиков, имеющих право на льготы;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в)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23(1). Оценку результативности налоговых расходов поселения допускается не проводить в отношении: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а) технических налоговых расходов;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в) налоговых расходов, обусловленных льготами, срок действия которых составляет менее одного года.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23(2). Оценку востребованности плательщиками предоставленных льгот допускается не проводить в отношении: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б) налоговых расходов, обусловленных льготами, срок действия которых составляет менее одного года.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24. По итогам оценки эффективности налогового расхода куратор налогового расхода формулирует выводы о достижении целевых характеристик налогового расхода.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      25. Администрация формирует оценку эффективности налоговых расходов поселения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</w:t>
      </w:r>
      <w:hyperlink r:id="rId28" w:history="1">
        <w:r w:rsidRPr="002C29E2">
          <w:rPr>
            <w:rFonts w:ascii="Times New Roman" w:hAnsi="Times New Roman" w:cs="Times New Roman"/>
            <w:sz w:val="24"/>
            <w:szCs w:val="24"/>
          </w:rPr>
          <w:t>пунктом 19</w:t>
        </w:r>
      </w:hyperlink>
      <w:r w:rsidRPr="002C29E2">
        <w:rPr>
          <w:rFonts w:ascii="Times New Roman" w:hAnsi="Times New Roman" w:cs="Times New Roman"/>
          <w:sz w:val="24"/>
          <w:szCs w:val="24"/>
        </w:rPr>
        <w:t xml:space="preserve"> настоящего документа.</w:t>
      </w:r>
    </w:p>
    <w:p w:rsidR="002C29E2" w:rsidRPr="002C29E2" w:rsidRDefault="002C29E2" w:rsidP="002C29E2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26. Результаты рассмотрения оценки налоговых расходов учитываются при формировании основных направлений бюджетной и налоговой политики поселения.</w:t>
      </w:r>
    </w:p>
    <w:p w:rsid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к Порядку формирования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перечня налоговых расходов и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оценки налоговых расходов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2C29E2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C29E2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2C29E2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9E2">
        <w:rPr>
          <w:rFonts w:ascii="Times New Roman" w:hAnsi="Times New Roman" w:cs="Times New Roman"/>
          <w:sz w:val="24"/>
          <w:szCs w:val="24"/>
        </w:rPr>
        <w:t>Кабардино-Балкарской Республики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9E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ИНФОРМАЦИИ, ВКЛЮЧАЕМОЙ В ПАСПОРТ НАЛОГОВОГО РАСХОДА СЕЛЬСКОГО ПОСЕЛЕНИЯ </w:t>
      </w:r>
      <w:proofErr w:type="gramStart"/>
      <w:r w:rsidRPr="002C29E2">
        <w:rPr>
          <w:rFonts w:ascii="Times New Roman" w:hAnsi="Times New Roman" w:cs="Times New Roman"/>
          <w:b/>
          <w:bCs/>
          <w:sz w:val="24"/>
          <w:szCs w:val="24"/>
        </w:rPr>
        <w:t>НОВО-ПОЛТАВСКОЕ</w:t>
      </w:r>
      <w:proofErr w:type="gramEnd"/>
      <w:r w:rsidRPr="002C29E2">
        <w:rPr>
          <w:rFonts w:ascii="Times New Roman" w:hAnsi="Times New Roman" w:cs="Times New Roman"/>
          <w:b/>
          <w:bCs/>
          <w:sz w:val="24"/>
          <w:szCs w:val="24"/>
        </w:rPr>
        <w:t xml:space="preserve"> ПРОХЛАДНЕНСКОГО МУНИЦИПАЛЬНОГО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29E2">
        <w:rPr>
          <w:rFonts w:ascii="Times New Roman" w:hAnsi="Times New Roman" w:cs="Times New Roman"/>
          <w:b/>
          <w:bCs/>
          <w:sz w:val="24"/>
          <w:szCs w:val="24"/>
        </w:rPr>
        <w:t>РАЙОНА КАБАРДИНО-БАЛКАРСКОЙ РЕСПУБЛИКИ</w:t>
      </w:r>
    </w:p>
    <w:p w:rsidR="002C29E2" w:rsidRPr="002C29E2" w:rsidRDefault="002C29E2" w:rsidP="002C2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915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00"/>
        <w:gridCol w:w="6730"/>
        <w:gridCol w:w="2976"/>
      </w:tblGrid>
      <w:tr w:rsidR="002C29E2" w:rsidRPr="002C29E2" w:rsidTr="005F5270"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Источник данных</w:t>
            </w:r>
          </w:p>
        </w:tc>
      </w:tr>
      <w:tr w:rsidR="002C29E2" w:rsidRPr="002C29E2" w:rsidTr="005F5270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I. Нормативные характеристики налоговых расходов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Нормативно правовые акты поселения (далее – НПА), в том числе действующие в отчетном году и действовавшие в году, предшествующем отчетному году,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НПА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НПА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Даты вступления в силу НПА, </w:t>
            </w:r>
            <w:proofErr w:type="gramStart"/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устанавливающих</w:t>
            </w:r>
            <w:proofErr w:type="gramEnd"/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налоговые льготы, освобождения и иные преференции по налогам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действия, предоставленного НПА права на налоговые льготы, освобождения и иные преференции по налогам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Период действия налоговых льгот, освобождений и иных преференций по налогам, предоставленных НПА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Дата прекращения действия налоговых льгот, освобождений и иных преференций по налогам, установленная НПА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II. Целевые характеристики налоговых расходов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Наименования налоговых льгот, освобождений и иных преференций по налогам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Куратор налогового расхода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 установленных НПА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Куратор налогового расхода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Вид налоговых льгот, освобождений и иных преференций, определяющий особенности предоставленных отдельным </w:t>
            </w:r>
            <w:r w:rsidRPr="002C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категориям плательщиков налогов преимуществ по сравнению с другими плательщиками (при формировании сводной оценки эффективности налоговых расходов)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 (при формировании сводной оценки эффективности налоговых расходов)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налоговых расходов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программ поселения, наименования нормативных правовых актов, определяющих цели социально-экономической политики поселения, не относящиеся к муниципальным программам поселения, в </w:t>
            </w:r>
            <w:proofErr w:type="gramStart"/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 и данные куратора налогового расхода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 достижения целей муниципальных программ поселения и (или) целей социально-экономической политики поселения, не относящихся к муниципальным программам поселения, в связи с предоставлением налоговых льгот, освобождений и иных преференций по налогам и значения показателя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Куратор налогового расхода </w:t>
            </w:r>
          </w:p>
        </w:tc>
      </w:tr>
      <w:tr w:rsidR="002C29E2" w:rsidRPr="002C29E2" w:rsidTr="005F5270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III. Фискальные характеристики налогового расхода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налогов в соответствии с НПА за отчетный финансовый год и за год, предшествующий отчетному году (тыс. рублей)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Куратор налогового расхода 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НПА</w:t>
            </w:r>
            <w:proofErr w:type="gram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  <w:tr w:rsidR="002C29E2" w:rsidRPr="002C29E2" w:rsidTr="002C29E2">
        <w:trPr>
          <w:trHeight w:val="554"/>
        </w:trPr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Общая численность плательщиков налогов (единиц)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Базовый объем налогов, задекларированный для уплаты в поселение плательщиками налогов, имеющими право на налоговые льготы, освобождения и иные преференции, установленные НПА в отношении стимулирующих налоговых расходов поселения, обусловленных налоговыми льготами, освобождениями и иными преференциями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  <w:tr w:rsidR="002C29E2" w:rsidRPr="002C29E2" w:rsidTr="005F5270"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 xml:space="preserve">Объем налогов, задекларированный для уплаты в поселение плательщиками налогов, имеющими право на налоговые льготы, освобождения и иные преференции, за 6 лет, предшествующих отчетному финансовому году, в отношении стимулирующих налоговых расходов поселения, обусловленных налоговыми льготами, освобождениями и иными преференциями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E2" w:rsidRPr="002C29E2" w:rsidRDefault="002C29E2" w:rsidP="005F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E2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</w:t>
            </w:r>
          </w:p>
        </w:tc>
      </w:tr>
    </w:tbl>
    <w:p w:rsidR="00850E63" w:rsidRDefault="00850E63" w:rsidP="00185A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</w:rPr>
      </w:pPr>
    </w:p>
    <w:sectPr w:rsidR="00850E63" w:rsidSect="006B4132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66A39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9F6917"/>
    <w:multiLevelType w:val="hybridMultilevel"/>
    <w:tmpl w:val="665EC426"/>
    <w:lvl w:ilvl="0" w:tplc="3B4A0E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9"/>
    <w:rsid w:val="00002152"/>
    <w:rsid w:val="00046D90"/>
    <w:rsid w:val="000843B1"/>
    <w:rsid w:val="000F0EBA"/>
    <w:rsid w:val="00182A43"/>
    <w:rsid w:val="00185A3F"/>
    <w:rsid w:val="001908DA"/>
    <w:rsid w:val="001F3C5E"/>
    <w:rsid w:val="00211B2A"/>
    <w:rsid w:val="00212A42"/>
    <w:rsid w:val="00265AA9"/>
    <w:rsid w:val="002C29E2"/>
    <w:rsid w:val="002E1BC4"/>
    <w:rsid w:val="002E54C0"/>
    <w:rsid w:val="003024ED"/>
    <w:rsid w:val="003615EB"/>
    <w:rsid w:val="00364870"/>
    <w:rsid w:val="003A20E1"/>
    <w:rsid w:val="00433ED9"/>
    <w:rsid w:val="004543B2"/>
    <w:rsid w:val="00571C67"/>
    <w:rsid w:val="0058088A"/>
    <w:rsid w:val="00591E3A"/>
    <w:rsid w:val="005A3ECD"/>
    <w:rsid w:val="00623C1B"/>
    <w:rsid w:val="006B4132"/>
    <w:rsid w:val="00793A8D"/>
    <w:rsid w:val="007F5B73"/>
    <w:rsid w:val="00850E63"/>
    <w:rsid w:val="00895FD2"/>
    <w:rsid w:val="008964DE"/>
    <w:rsid w:val="008E1D8E"/>
    <w:rsid w:val="00981A63"/>
    <w:rsid w:val="009A43C2"/>
    <w:rsid w:val="009B4B96"/>
    <w:rsid w:val="00A950B5"/>
    <w:rsid w:val="00AF4661"/>
    <w:rsid w:val="00B03599"/>
    <w:rsid w:val="00B82F81"/>
    <w:rsid w:val="00B84C52"/>
    <w:rsid w:val="00B858EF"/>
    <w:rsid w:val="00B97085"/>
    <w:rsid w:val="00BE52B6"/>
    <w:rsid w:val="00C10B8B"/>
    <w:rsid w:val="00C5146A"/>
    <w:rsid w:val="00CC3C5E"/>
    <w:rsid w:val="00CD526A"/>
    <w:rsid w:val="00D61F81"/>
    <w:rsid w:val="00D97D47"/>
    <w:rsid w:val="00DA0D2D"/>
    <w:rsid w:val="00DF1A89"/>
    <w:rsid w:val="00E2548C"/>
    <w:rsid w:val="00E502FA"/>
    <w:rsid w:val="00E779F5"/>
    <w:rsid w:val="00EC3B12"/>
    <w:rsid w:val="00F47A38"/>
    <w:rsid w:val="00F9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002152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1A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E52B6"/>
    <w:rPr>
      <w:color w:val="0000FF" w:themeColor="hyperlink"/>
      <w:u w:val="single"/>
    </w:rPr>
  </w:style>
  <w:style w:type="paragraph" w:styleId="a6">
    <w:name w:val="Body Text Indent"/>
    <w:basedOn w:val="a"/>
    <w:link w:val="a7"/>
    <w:rsid w:val="001F3C5E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1F3C5E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8">
    <w:name w:val="No Spacing"/>
    <w:uiPriority w:val="1"/>
    <w:qFormat/>
    <w:rsid w:val="001F3C5E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F3C5E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002152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00215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rsid w:val="0000215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9A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9A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254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9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7035" TargetMode="External"/><Relationship Id="rId13" Type="http://schemas.openxmlformats.org/officeDocument/2006/relationships/hyperlink" Target="https://login.consultant.ru/link/?req=doc&amp;base=RLAW304&amp;n=76398&amp;dst=100094" TargetMode="External"/><Relationship Id="rId18" Type="http://schemas.openxmlformats.org/officeDocument/2006/relationships/hyperlink" Target="https://login.consultant.ru/link/?req=doc&amp;base=RLAW304&amp;n=123406&amp;dst=100041" TargetMode="External"/><Relationship Id="rId26" Type="http://schemas.openxmlformats.org/officeDocument/2006/relationships/hyperlink" Target="https://login.consultant.ru/link/?req=doc&amp;base=RLAW304&amp;n=123407&amp;dst=100229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304&amp;n=123406&amp;dst=100038" TargetMode="External"/><Relationship Id="rId7" Type="http://schemas.openxmlformats.org/officeDocument/2006/relationships/hyperlink" Target="https://login.consultant.ru/link/?req=doc&amp;base=LAW&amp;n=511241&amp;dst=4766" TargetMode="External"/><Relationship Id="rId12" Type="http://schemas.openxmlformats.org/officeDocument/2006/relationships/hyperlink" Target="https://login.consultant.ru/link/?req=doc&amp;base=LAW&amp;n=507035" TargetMode="External"/><Relationship Id="rId17" Type="http://schemas.openxmlformats.org/officeDocument/2006/relationships/hyperlink" Target="https://login.consultant.ru/link/?req=doc&amp;base=RLAW304&amp;n=123406&amp;dst=100032" TargetMode="External"/><Relationship Id="rId25" Type="http://schemas.openxmlformats.org/officeDocument/2006/relationships/hyperlink" Target="https://login.consultant.ru/link/?req=doc&amp;base=RLAW304&amp;n=123407&amp;dst=1002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304&amp;n=123406&amp;dst=100031" TargetMode="External"/><Relationship Id="rId20" Type="http://schemas.openxmlformats.org/officeDocument/2006/relationships/hyperlink" Target="https://login.consultant.ru/link/?req=doc&amp;base=RLAW304&amp;n=123406&amp;dst=100052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rohladnenskiy.kbr.ru/management/territorialnye-ispolnitelnye-organy/selskoe-poselenie-novo-poltavskoe/" TargetMode="External"/><Relationship Id="rId24" Type="http://schemas.openxmlformats.org/officeDocument/2006/relationships/hyperlink" Target="https://prohladnenskiy.kbr.ru/management/territorialnye-ispolnitelnye-organy/selskoe-poselenie-novo-poltavsko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304&amp;n=123406&amp;dst=100032" TargetMode="External"/><Relationship Id="rId23" Type="http://schemas.openxmlformats.org/officeDocument/2006/relationships/hyperlink" Target="https://login.consultant.ru/link/?req=doc&amp;base=RLAW304&amp;n=123406&amp;dst=100056" TargetMode="External"/><Relationship Id="rId28" Type="http://schemas.openxmlformats.org/officeDocument/2006/relationships/hyperlink" Target="https://login.consultant.ru/link/?req=doc&amp;base=LAW&amp;n=507035&amp;dst=82" TargetMode="External"/><Relationship Id="rId10" Type="http://schemas.openxmlformats.org/officeDocument/2006/relationships/hyperlink" Target="consultantplus://offline/ref=8BA952000C2705B385E94D78AC3F026706038DA1241B57BFB83E98BF8A5CAA948B37BF45A520F3F8EAF3AE01E828CEA0g4M2M" TargetMode="External"/><Relationship Id="rId19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304&amp;n=76398&amp;dst=100011" TargetMode="External"/><Relationship Id="rId14" Type="http://schemas.openxmlformats.org/officeDocument/2006/relationships/hyperlink" Target="https://login.consultant.ru/link/?req=doc&amp;base=RLAW304&amp;n=76398&amp;dst=100037" TargetMode="External"/><Relationship Id="rId22" Type="http://schemas.openxmlformats.org/officeDocument/2006/relationships/hyperlink" Target="https://login.consultant.ru/link/?req=doc&amp;base=RLAW304&amp;n=123406&amp;dst=100031" TargetMode="External"/><Relationship Id="rId27" Type="http://schemas.openxmlformats.org/officeDocument/2006/relationships/hyperlink" Target="https://login.consultant.ru/link/?req=doc&amp;base=LAW&amp;n=507035&amp;dst=10005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3753</Words>
  <Characters>21396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43</cp:revision>
  <cp:lastPrinted>2025-09-30T07:00:00Z</cp:lastPrinted>
  <dcterms:created xsi:type="dcterms:W3CDTF">2020-04-15T05:41:00Z</dcterms:created>
  <dcterms:modified xsi:type="dcterms:W3CDTF">2025-09-30T07:01:00Z</dcterms:modified>
</cp:coreProperties>
</file>